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6.999999999998" w:type="dxa"/>
        <w:jc w:val="left"/>
        <w:tblInd w:w="-324.0" w:type="dxa"/>
        <w:tblLayout w:type="fixed"/>
        <w:tblLook w:val="0000"/>
      </w:tblPr>
      <w:tblGrid>
        <w:gridCol w:w="3167"/>
        <w:gridCol w:w="540"/>
        <w:gridCol w:w="1477"/>
        <w:gridCol w:w="144"/>
        <w:gridCol w:w="2879"/>
        <w:gridCol w:w="540"/>
        <w:gridCol w:w="1620"/>
        <w:tblGridChange w:id="0">
          <w:tblGrid>
            <w:gridCol w:w="3167"/>
            <w:gridCol w:w="540"/>
            <w:gridCol w:w="1477"/>
            <w:gridCol w:w="144"/>
            <w:gridCol w:w="2879"/>
            <w:gridCol w:w="540"/>
            <w:gridCol w:w="1620"/>
          </w:tblGrid>
        </w:tblGridChange>
      </w:tblGrid>
      <w:tr>
        <w:trPr>
          <w:cantSplit w:val="0"/>
          <w:trHeight w:val="359" w:hRule="atLeast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36"/>
                <w:szCs w:val="36"/>
                <w:vertAlign w:val="baseline"/>
                <w:rtl w:val="0"/>
              </w:rPr>
              <w:t xml:space="preserve">Budget prévisionnel du projet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Date 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c0c0c0"/>
                <w:sz w:val="22"/>
                <w:szCs w:val="22"/>
                <w:vertAlign w:val="baseline"/>
                <w:rtl w:val="0"/>
              </w:rPr>
              <w:t xml:space="preserve"> 03 oc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c0c0c0"/>
                <w:sz w:val="22"/>
                <w:szCs w:val="22"/>
                <w:rtl w:val="0"/>
              </w:rPr>
              <w:t xml:space="preserve">tobre 2021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c0c0c0"/>
                <w:sz w:val="22"/>
                <w:szCs w:val="22"/>
                <w:vertAlign w:val="baseline"/>
                <w:rtl w:val="0"/>
              </w:rPr>
              <w:t xml:space="preserve">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Intitulé de l’action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 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c0c0c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 L’UKRAINE A ROUBAIX  : UN PATRIMOINE TEXTILE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c0c0c0"/>
                <w:sz w:val="22"/>
                <w:szCs w:val="22"/>
                <w:vertAlign w:val="baseline"/>
                <w:rtl w:val="0"/>
              </w:rPr>
              <w:t xml:space="preserve">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Dépenses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32"/>
                <w:szCs w:val="32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Recettes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Location(s)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right"/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Autofinancement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right"/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Frais de transport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right"/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Participation des personnes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right"/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1100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avion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ateliers parents enfants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train/navette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visites guidées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b w:val="1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Boissons et alimentation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right"/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740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concert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goûters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collation concert,  rencontres, repas des intervenants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440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Achat de fournitures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right"/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301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Autres financements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right"/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1241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2"/>
                <w:szCs w:val="22"/>
                <w:vertAlign w:val="baseline"/>
                <w:rtl w:val="0"/>
              </w:rPr>
              <w:t xml:space="preserve">(à détailler)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2"/>
                <w:szCs w:val="22"/>
                <w:vertAlign w:val="baseline"/>
                <w:rtl w:val="0"/>
              </w:rPr>
              <w:t xml:space="preserve">(à préciser)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fil à broder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Association Eglise Saint Joseph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aiguilles à broder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Association Portail de l’Ukraine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591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toile à broder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 ramette papier A4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Manufacture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Amplificateur voix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masques blancs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gridSpan w:val="2"/>
            <w:tcBorders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Fleurs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gridSpan w:val="2"/>
            <w:tcBorders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masques motanka d’Ukraine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gridSpan w:val="2"/>
            <w:tcBorders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Assurance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right"/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Tracts, affiches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right"/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Taxes 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SACEM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right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Aide demandée au 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right"/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1500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Divers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right"/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1900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cachet des artistes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billetterie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service sécurité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Hébergements de 2 intervenants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Photocopie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Personnel bénévole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Bénévolat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tous les ateliers et rencontres sont animés par des bénévoles. Le projet n’est porté que par des bénévoles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tous les ateliers et rencontres sont animés par des bénévoles. Le projet n’est porté que par des bénévoles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Sous total des dépenses engagées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jc w:val="right"/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3841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ind w:right="-180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Financement d’un autre projet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jc w:val="right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3841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jc w:val="right"/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3841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1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0C">
            <w:pPr>
              <w:ind w:right="36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(*)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5"/>
                <w:szCs w:val="15"/>
                <w:u w:val="single"/>
                <w:vertAlign w:val="baseline"/>
                <w:rtl w:val="0"/>
              </w:rPr>
              <w:t xml:space="preserve">Les dépenses doivent être justifiées par des devis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ind w:right="36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(1) Si le local d’une association est utilisé, s’assurer que cette association est protégée pour la fête que vous organisez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ind w:right="36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(2) Pour les voyages collectifs, les conditions suivantes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numPr>
                <w:ilvl w:val="1"/>
                <w:numId w:val="1"/>
              </w:numPr>
              <w:ind w:left="612" w:right="36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avoir fait l’objet d’une animation préalable sur le quartier, afin de contribuer à leur autofinancement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numPr>
                <w:ilvl w:val="1"/>
                <w:numId w:val="1"/>
              </w:numPr>
              <w:ind w:left="612" w:right="36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être encadrés par plusieurs adultes (autorisation parentale pour les mineurs non accompagnés de leurs parents)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numPr>
                <w:ilvl w:val="1"/>
                <w:numId w:val="1"/>
              </w:numPr>
              <w:ind w:left="612" w:right="36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être couverts par une assurance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numPr>
                <w:ilvl w:val="1"/>
                <w:numId w:val="1"/>
              </w:numPr>
              <w:ind w:left="612" w:right="36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contenir une activité à finalité éducative ou culturelle comme le précise le règlement intérieur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ind w:right="-771"/>
              <w:jc w:val="both"/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ind w:right="-771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(3) Seul le matériel consommable est pris en compte (petit matériel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ind w:right="-771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servant à organiser la fête, papier, colle,…)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(4) Il est indispensable de faire participer financièrement ou matériellement les bénéficiaires du projet, et les usagers doivent nécessairement participer au projet.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(5) Si des bénéfices générés par l’animation sur le quartier sont destinés à financer une opération (sorties, voyages, dons à une organisation caritative, etc.), il faut en indiquer le montant.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Century Gothic" w:cs="Century Gothic" w:eastAsia="Century Gothic" w:hAnsi="Century Gothic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spacing w:line="360" w:lineRule="auto"/>
        <w:ind w:right="-828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540" w:top="1258" w:left="1417" w:right="1417" w:header="708" w:footer="3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50" w:hanging="39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enhypertexte">
    <w:name w:val="Lien hypertexte"/>
    <w:next w:val="Lienhypertext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re1">
    <w:name w:val="Titre1"/>
    <w:basedOn w:val="Normal"/>
    <w:next w:val="Corpsdetex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fr-FR" w:val="fr-FR"/>
    </w:r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Liste">
    <w:name w:val="Liste"/>
    <w:basedOn w:val="Corpsdetexte"/>
    <w:next w:val="Liste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Légende">
    <w:name w:val="Légende"/>
    <w:basedOn w:val="Normal"/>
    <w:next w:val="Légend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En-têteetpieddepage">
    <w:name w:val="En-tête et pied de page"/>
    <w:basedOn w:val="Normal"/>
    <w:next w:val="En-têteetpieddepag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gray3">
    <w:name w:val="gray3"/>
    <w:basedOn w:val="Normal"/>
    <w:next w:val="gray3"/>
    <w:autoRedefine w:val="0"/>
    <w:hidden w:val="0"/>
    <w:qFormat w:val="0"/>
    <w:pPr>
      <w:suppressAutoHyphens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icrosoft YaHei" w:hAnsi="Mangal"/>
      <w:color w:val="ffffff"/>
      <w:w w:val="100"/>
      <w:kern w:val="2"/>
      <w:position w:val="-1"/>
      <w:sz w:val="36"/>
      <w:szCs w:val="36"/>
      <w:effect w:val="none"/>
      <w:vertAlign w:val="baseline"/>
      <w:cs w:val="0"/>
      <w:em w:val="none"/>
      <w:lang w:bidi="ar-SA" w:eastAsia="fr-FR" w:val="fr-FR"/>
    </w:rPr>
  </w:style>
  <w:style w:type="paragraph" w:styleId="gray2">
    <w:name w:val="gray2"/>
    <w:basedOn w:val="Normal"/>
    <w:next w:val="gray2"/>
    <w:autoRedefine w:val="0"/>
    <w:hidden w:val="0"/>
    <w:qFormat w:val="0"/>
    <w:pPr>
      <w:suppressAutoHyphens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icrosoft YaHei" w:hAnsi="Mangal"/>
      <w:color w:val="ffffff"/>
      <w:w w:val="100"/>
      <w:kern w:val="2"/>
      <w:position w:val="-1"/>
      <w:sz w:val="36"/>
      <w:szCs w:val="36"/>
      <w:effect w:val="none"/>
      <w:vertAlign w:val="baseline"/>
      <w:cs w:val="0"/>
      <w:em w:val="none"/>
      <w:lang w:bidi="ar-SA" w:eastAsia="fr-FR" w:val="fr-FR"/>
    </w:rPr>
  </w:style>
  <w:style w:type="paragraph" w:styleId="gray1">
    <w:name w:val="gray1"/>
    <w:basedOn w:val="Normal"/>
    <w:next w:val="gray1"/>
    <w:autoRedefine w:val="0"/>
    <w:hidden w:val="0"/>
    <w:qFormat w:val="0"/>
    <w:pPr>
      <w:suppressAutoHyphens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icrosoft YaHei" w:hAnsi="Mangal"/>
      <w:color w:val="ffffff"/>
      <w:w w:val="100"/>
      <w:kern w:val="2"/>
      <w:position w:val="-1"/>
      <w:sz w:val="36"/>
      <w:szCs w:val="36"/>
      <w:effect w:val="none"/>
      <w:vertAlign w:val="baseline"/>
      <w:cs w:val="0"/>
      <w:em w:val="none"/>
      <w:lang w:bidi="ar-SA" w:eastAsia="fr-FR" w:val="fr-FR"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icrosoft YaHei" w:hAnsi="Mangal"/>
      <w:color w:val="ffffff"/>
      <w:w w:val="100"/>
      <w:kern w:val="2"/>
      <w:position w:val="-1"/>
      <w:sz w:val="36"/>
      <w:szCs w:val="36"/>
      <w:effect w:val="none"/>
      <w:vertAlign w:val="baseline"/>
      <w:cs w:val="0"/>
      <w:em w:val="none"/>
      <w:lang w:bidi="ar-SA" w:eastAsia="fr-FR" w:val="fr-F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VS/qZkOyy9LYHgOvKmO0uCwa2w==">AMUW2mVyq+hcn9Hzbpcb+272FQlSCDCtFC66tlKrnEXNnjWpLY9qGcfu8I6yoTfNqHWz6+Tp9u4nof/9/tr8uamczgRCCILRKynksEJY2/x4fxvvDioiVr9EHSCQynxSj8RwX12tSbso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1995-11-21T15:41:00Z</dcterms:created>
  <dc:creato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