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5F7B1E7E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9CC1A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7F8A7" w14:textId="4F3458CE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6D4040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                 </w:t>
            </w:r>
            <w:r w:rsidR="006D4040" w:rsidRPr="006D404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30/04/2021</w:t>
            </w:r>
          </w:p>
        </w:tc>
      </w:tr>
      <w:tr w:rsidR="001926AC" w:rsidRPr="00856BF7" w14:paraId="6F511B40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DC37C" w14:textId="105427DB" w:rsidR="001926AC" w:rsidRPr="00856BF7" w:rsidRDefault="001926AC" w:rsidP="001926AC">
            <w:pPr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56BF7">
              <w:rPr>
                <w:rFonts w:asciiTheme="minorHAnsi" w:hAnsiTheme="minorHAnsi"/>
                <w:b/>
                <w:bCs/>
                <w:smallCaps/>
                <w:color w:val="000000" w:themeColor="text1"/>
                <w:lang w:val="en-US"/>
              </w:rPr>
              <w:t>Intitulé</w:t>
            </w:r>
            <w:proofErr w:type="spellEnd"/>
            <w:r w:rsidRPr="00856BF7">
              <w:rPr>
                <w:rFonts w:asciiTheme="minorHAnsi" w:hAnsiTheme="minorHAnsi"/>
                <w:b/>
                <w:bCs/>
                <w:smallCaps/>
                <w:color w:val="000000" w:themeColor="text1"/>
                <w:lang w:val="en-US"/>
              </w:rPr>
              <w:t xml:space="preserve"> de </w:t>
            </w:r>
            <w:proofErr w:type="spellStart"/>
            <w:r w:rsidRPr="00856BF7">
              <w:rPr>
                <w:rFonts w:asciiTheme="minorHAnsi" w:hAnsiTheme="minorHAnsi"/>
                <w:b/>
                <w:bCs/>
                <w:smallCaps/>
                <w:color w:val="000000" w:themeColor="text1"/>
                <w:lang w:val="en-US"/>
              </w:rPr>
              <w:t>l’action</w:t>
            </w:r>
            <w:proofErr w:type="spellEnd"/>
            <w:r w:rsidRPr="00856BF7">
              <w:rPr>
                <w:rFonts w:ascii="Century Gothic" w:hAnsi="Century Gothic"/>
                <w:color w:val="000000" w:themeColor="text1"/>
                <w:lang w:val="en-US"/>
              </w:rPr>
              <w:t> :</w:t>
            </w:r>
            <w:r w:rsidRPr="00856BF7"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D4040" w:rsidRPr="00856BF7"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  <w:t>Battle de danse (</w:t>
            </w:r>
            <w:r w:rsidR="00856BF7" w:rsidRPr="00856BF7"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  <w:t>Get Ready For The Next Battle)</w:t>
            </w:r>
          </w:p>
        </w:tc>
      </w:tr>
      <w:tr w:rsidR="001860B8" w:rsidRPr="00960C66" w14:paraId="6ADA8D87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F50BA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856BF7">
              <w:rPr>
                <w:rFonts w:ascii="Century Gothic" w:hAnsi="Century Gothic"/>
                <w:lang w:val="en-US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8A765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5E74464C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D746AF4" w14:textId="460F996B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5637F6AB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FEEAC5" w14:textId="3EF750D8" w:rsidR="001860B8" w:rsidRPr="004F786E" w:rsidRDefault="00C1239A" w:rsidP="004F786E">
            <w:pPr>
              <w:jc w:val="center"/>
            </w:pPr>
            <w:r>
              <w:rPr>
                <w:rFonts w:ascii="noto_serifregular" w:hAnsi="noto_serifregular"/>
                <w:color w:val="000000"/>
                <w:shd w:val="clear" w:color="auto" w:fill="FFFFFF"/>
              </w:rPr>
              <w:t>1 648.80</w:t>
            </w:r>
            <w:r w:rsidR="004F786E" w:rsidRPr="004F786E">
              <w:rPr>
                <w:rFonts w:ascii="noto_serifregular" w:hAnsi="noto_serifregular"/>
                <w:color w:val="000000"/>
                <w:shd w:val="clear" w:color="auto" w:fill="FFFFFF"/>
              </w:rPr>
              <w:t>€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814994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F08D95" w14:textId="68C5E999" w:rsidR="001860B8" w:rsidRPr="00960C66" w:rsidRDefault="00C1239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148.80€</w:t>
            </w:r>
          </w:p>
        </w:tc>
      </w:tr>
      <w:tr w:rsidR="00B0457C" w:rsidRPr="00960C66" w14:paraId="7123757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DB9C227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A5A2543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F546609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DB5A48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7D30A51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85E32FD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0D70F5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573768F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998278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3321C8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E39DDF6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D04FD36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372C819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5734BDC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DBB0A3D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647D2635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02F9DE4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C8F71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11BCF1B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892060C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4FECAE9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29911E13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B848579" w14:textId="73627ABA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6015F75" w14:textId="5C7E4679" w:rsidR="00237804" w:rsidRPr="00237804" w:rsidRDefault="00237804" w:rsidP="004F786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DB7BF95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D3D73D3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06F5742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F3B9020" w14:textId="5B92B556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B14F191" w14:textId="240B2B8E" w:rsidR="00AB3698" w:rsidRPr="00C80B06" w:rsidRDefault="00AB3698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D842EA1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2FDA024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5410DD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174AA99" w14:textId="05BBE3A4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3C1612F" w14:textId="26437A69" w:rsidR="00C80B06" w:rsidRPr="00C80B06" w:rsidRDefault="00C80B06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CBA2B5A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D1E0F63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04A9B1C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BBC2EB7" w14:textId="15B2C014" w:rsidR="00B0457C" w:rsidRPr="00960C66" w:rsidRDefault="00B0457C" w:rsidP="001926A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59253B" w14:textId="1418C7B9" w:rsidR="00B0457C" w:rsidRPr="00960C66" w:rsidRDefault="00B0457C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FF620E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059EB6E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DE3B84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D16F350" w14:textId="06224C09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4814F34" w14:textId="057F77C4" w:rsidR="00B0457C" w:rsidRPr="00237804" w:rsidRDefault="00B0457C" w:rsidP="004F786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FC8639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A09E3F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7B38EC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421F42F" w14:textId="5AE1E6E5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5A167DF" w14:textId="6CCBA0BA" w:rsidR="00C80B06" w:rsidRPr="00386857" w:rsidRDefault="00C80B06" w:rsidP="004F786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C1AA3B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50764D1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9BFDCA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E783A0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5564BE6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2AAA830F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A729B62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B16F461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080317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0F7147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1D9492A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7D8969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3CCDF831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AAA03EF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5765A15E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0EC802B" w14:textId="2763CB9D" w:rsidR="00307147" w:rsidRPr="00960C66" w:rsidRDefault="00307147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BFDD67A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1419CCAE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48B51417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4B7467E" w14:textId="0C493ED7" w:rsidR="00307147" w:rsidRPr="00386857" w:rsidRDefault="004F786E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(Fournitures de bureaux)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6182FAE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8EA133C" w14:textId="3EFD3F46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36F0A34A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6531DC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5D097C3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E5AF2C7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2207516" w14:textId="2AE6CCEB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238C10E" w14:textId="16433221" w:rsidR="0027068B" w:rsidRPr="00960C66" w:rsidRDefault="0027068B" w:rsidP="006D404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9F0191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DAA90D9" w14:textId="2FDABDC1" w:rsidR="0027068B" w:rsidRPr="00386857" w:rsidRDefault="004F786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Honoraires comptabilité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838CBA" w14:textId="3A871982" w:rsidR="0027068B" w:rsidRPr="00237804" w:rsidRDefault="0027068B" w:rsidP="004F786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BAA8B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BE84D7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EEF65F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B0002F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A7E959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53ED125" w14:textId="63A73C06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EA774C" w14:textId="73501E4C" w:rsidR="0027068B" w:rsidRPr="00960C66" w:rsidRDefault="0027068B" w:rsidP="006D404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74EC4C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126A56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2A3DB41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631EEBA2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4428756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485BCF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3E024F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8F7F352" w14:textId="6BEA510A" w:rsidR="0027068B" w:rsidRPr="00960C66" w:rsidRDefault="0027068B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B3E82D5" w14:textId="7542D52C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82DEA62" w14:textId="21B69A1B" w:rsidR="0027068B" w:rsidRPr="00960C66" w:rsidRDefault="0027068B" w:rsidP="006D404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73DC9C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9AF4A3C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4BFDF54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FE752D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861B3D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7A03B6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8729C7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FE8DAB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31B90E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392890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F4A2F3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9137EB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BF0F0F9" w14:textId="1733CB0C" w:rsidR="0027068B" w:rsidRPr="00960C66" w:rsidRDefault="0027068B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55946A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F8C92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3AFB03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C0149F5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87F3038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269A39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9B6C4FC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31C006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60744E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FEC455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62CDD24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22C934E" w14:textId="329DFB0F" w:rsidR="0027068B" w:rsidRPr="00386857" w:rsidRDefault="00AC145E" w:rsidP="00AC145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1500 </w:t>
            </w:r>
            <w:r w:rsidRPr="004F786E">
              <w:rPr>
                <w:rFonts w:ascii="noto_serifregular" w:hAnsi="noto_serifregular"/>
                <w:color w:val="000000"/>
                <w:shd w:val="clear" w:color="auto" w:fill="FFFFFF"/>
              </w:rPr>
              <w:t>€</w:t>
            </w:r>
          </w:p>
        </w:tc>
      </w:tr>
      <w:tr w:rsidR="0027068B" w:rsidRPr="00960C66" w14:paraId="660455A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447A2C4" w14:textId="34910C26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  <w:r w:rsidR="004F786E">
              <w:rPr>
                <w:rFonts w:ascii="Century Gothic" w:hAnsi="Century Gothic"/>
                <w:sz w:val="22"/>
                <w:szCs w:val="22"/>
              </w:rPr>
              <w:t>+ prime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B3C1A04" w14:textId="390139BE" w:rsidR="0027068B" w:rsidRPr="00960C66" w:rsidRDefault="0027068B" w:rsidP="004F786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BBEB2A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DD8175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31A38C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F578512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B98D85B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1B10C9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03C446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2E66E9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0011E0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EAF14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1371AB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A09BEB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4D66A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D2C67D2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97D78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B333F3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80CE22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1BE911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1682F8C" w14:textId="424BE421" w:rsidR="0027068B" w:rsidRPr="00386857" w:rsidRDefault="004F786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Charges local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F4D2A6" w14:textId="7F10F234" w:rsidR="0027068B" w:rsidRPr="00237804" w:rsidRDefault="0027068B" w:rsidP="004F786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F41D40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70642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C79620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D21627" w14:textId="5AEB24D7" w:rsidR="0027068B" w:rsidRPr="00386857" w:rsidRDefault="004F786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Artistes, Technicien</w:t>
            </w:r>
            <w:r w:rsidR="00AC145E">
              <w:rPr>
                <w:rFonts w:ascii="Century Gothic" w:hAnsi="Century Gothic"/>
                <w:sz w:val="22"/>
                <w:szCs w:val="22"/>
              </w:rPr>
              <w:t>, administratif…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A87903" w14:textId="4828C055" w:rsidR="0027068B" w:rsidRPr="00237804" w:rsidRDefault="0027068B" w:rsidP="00AC145E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E37445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944B8F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7E09F09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B38A1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4F6A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38741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B3C9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77DE436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41F402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AE57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E81E01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0FA3E13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C52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A06BB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1504F2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6F8C74F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2C38BD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9A2B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D33600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71376FE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0313D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C04E8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3F4F2C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9A540CF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C8C3E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0D97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E72EAC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5EBD1FB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B43CB6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9E118" w14:textId="66F711AA" w:rsidR="0027068B" w:rsidRPr="00386857" w:rsidRDefault="00C123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1648.80 </w:t>
            </w:r>
            <w:r w:rsidR="00AC145E" w:rsidRPr="004F786E">
              <w:rPr>
                <w:rFonts w:ascii="noto_serifregular" w:hAnsi="noto_serifregular"/>
                <w:color w:val="000000"/>
                <w:shd w:val="clear" w:color="auto" w:fill="FFFFFF"/>
              </w:rPr>
              <w:t>€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8D1A6D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BB717" w14:textId="17473B1E" w:rsidR="0027068B" w:rsidRPr="00960C66" w:rsidRDefault="00C123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1648.80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D4040" w:rsidRPr="004F786E">
              <w:rPr>
                <w:rFonts w:ascii="noto_serifregular" w:hAnsi="noto_serifregular"/>
                <w:color w:val="000000"/>
                <w:shd w:val="clear" w:color="auto" w:fill="FFFFFF"/>
              </w:rPr>
              <w:t>€</w:t>
            </w:r>
          </w:p>
        </w:tc>
      </w:tr>
      <w:tr w:rsidR="0027068B" w:rsidRPr="00FA510E" w14:paraId="34AE87AE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38837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0DED6D64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688A4CC6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1CB031A8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2E6DB8D3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4258325F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4C91376F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087DC1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32CD4C8D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08FE8562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274FB102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37465A3E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2100BF10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2697E0E6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E281" w14:textId="77777777" w:rsidR="00291248" w:rsidRDefault="00291248">
      <w:r>
        <w:separator/>
      </w:r>
    </w:p>
  </w:endnote>
  <w:endnote w:type="continuationSeparator" w:id="0">
    <w:p w14:paraId="096797F7" w14:textId="77777777" w:rsidR="00291248" w:rsidRDefault="0029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_serifregular">
    <w:altName w:val="Cambria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6FD7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3CED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AF64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A13D" w14:textId="77777777" w:rsidR="00291248" w:rsidRDefault="00291248">
      <w:r>
        <w:separator/>
      </w:r>
    </w:p>
  </w:footnote>
  <w:footnote w:type="continuationSeparator" w:id="0">
    <w:p w14:paraId="47EB13C1" w14:textId="77777777" w:rsidR="00291248" w:rsidRDefault="0029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5C46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40FA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C3B4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91248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92587"/>
    <w:rsid w:val="004A5F68"/>
    <w:rsid w:val="004B4B5E"/>
    <w:rsid w:val="004F01E9"/>
    <w:rsid w:val="004F1546"/>
    <w:rsid w:val="004F786E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D4040"/>
    <w:rsid w:val="006E0AAD"/>
    <w:rsid w:val="006E4752"/>
    <w:rsid w:val="006E6A69"/>
    <w:rsid w:val="007013CE"/>
    <w:rsid w:val="007014CF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56BF7"/>
    <w:rsid w:val="00864D50"/>
    <w:rsid w:val="00873261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C145E"/>
    <w:rsid w:val="00AE2030"/>
    <w:rsid w:val="00B0457C"/>
    <w:rsid w:val="00B216E6"/>
    <w:rsid w:val="00B337DB"/>
    <w:rsid w:val="00B4182E"/>
    <w:rsid w:val="00B66347"/>
    <w:rsid w:val="00B86AE7"/>
    <w:rsid w:val="00BD0BF4"/>
    <w:rsid w:val="00C1239A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7E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FAB8-DE00-454D-A391-6820208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2021-06-11T12:16:00Z</dcterms:created>
  <dcterms:modified xsi:type="dcterms:W3CDTF">2021-06-11T12:16:00Z</dcterms:modified>
</cp:coreProperties>
</file>