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7" w:type="dxa"/>
        <w:tblInd w:w="-324" w:type="dxa"/>
        <w:tblLayout w:type="fixed"/>
        <w:tblLook w:val="0000" w:firstRow="0" w:lastRow="0" w:firstColumn="0" w:lastColumn="0" w:noHBand="0" w:noVBand="0"/>
      </w:tblPr>
      <w:tblGrid>
        <w:gridCol w:w="3167"/>
        <w:gridCol w:w="540"/>
        <w:gridCol w:w="1477"/>
        <w:gridCol w:w="144"/>
        <w:gridCol w:w="2879"/>
        <w:gridCol w:w="540"/>
        <w:gridCol w:w="1620"/>
      </w:tblGrid>
      <w:tr w:rsidR="001C0B0D" w14:paraId="63728D66" w14:textId="77777777" w:rsidTr="00FD074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EEAC11" w14:textId="52977733" w:rsidR="001C0B0D" w:rsidRDefault="00764AC4" w:rsidP="00764AC4">
            <w:pPr>
              <w:jc w:val="center"/>
            </w:pPr>
            <w:r>
              <w:rPr>
                <w:rFonts w:ascii="Calibri" w:hAnsi="Calibri"/>
                <w:b/>
                <w:bCs/>
                <w:iCs/>
                <w:smallCaps/>
                <w:sz w:val="36"/>
                <w:szCs w:val="36"/>
              </w:rPr>
              <w:t>Bilan financier</w:t>
            </w:r>
            <w:r w:rsidR="001C0B0D">
              <w:rPr>
                <w:rFonts w:ascii="Calibri" w:hAnsi="Calibri"/>
                <w:b/>
                <w:bCs/>
                <w:iCs/>
                <w:smallCaps/>
                <w:sz w:val="36"/>
                <w:szCs w:val="36"/>
              </w:rPr>
              <w:t xml:space="preserve"> du projet</w:t>
            </w:r>
          </w:p>
        </w:tc>
        <w:tc>
          <w:tcPr>
            <w:tcW w:w="50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4BDD37" w14:textId="3B383195" w:rsidR="001C0B0D" w:rsidRDefault="001C0B0D">
            <w:r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783370">
              <w:rPr>
                <w:rFonts w:ascii="Century Gothic" w:hAnsi="Century Gothic"/>
                <w:color w:val="C0C0C0"/>
                <w:sz w:val="22"/>
                <w:szCs w:val="22"/>
              </w:rPr>
              <w:t>26/03/25</w:t>
            </w:r>
          </w:p>
        </w:tc>
      </w:tr>
      <w:tr w:rsidR="001C0B0D" w14:paraId="00797872" w14:textId="77777777" w:rsidTr="00FD0747">
        <w:trPr>
          <w:trHeight w:val="359"/>
        </w:trPr>
        <w:tc>
          <w:tcPr>
            <w:tcW w:w="1036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A77D2A" w14:textId="74204913" w:rsidR="001C0B0D" w:rsidRDefault="001C0B0D">
            <w:r>
              <w:rPr>
                <w:rFonts w:ascii="Calibri" w:hAnsi="Calibr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 w:rsidR="00783370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E371D6">
              <w:rPr>
                <w:rFonts w:ascii="Century Gothic" w:hAnsi="Century Gothic"/>
                <w:color w:val="C0C0C0"/>
                <w:sz w:val="22"/>
                <w:szCs w:val="22"/>
              </w:rPr>
              <w:t>Echecs pour tous</w:t>
            </w:r>
          </w:p>
        </w:tc>
      </w:tr>
      <w:tr w:rsidR="001C0B0D" w14:paraId="61050AF4" w14:textId="77777777" w:rsidTr="00FD074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0E6C21" w14:textId="77777777" w:rsidR="001C0B0D" w:rsidRDefault="001C0B0D">
            <w:pPr>
              <w:jc w:val="center"/>
            </w:pPr>
            <w:r>
              <w:rPr>
                <w:rFonts w:ascii="Calibri" w:hAnsi="Calibri"/>
                <w:b/>
                <w:bCs/>
                <w:smallCaps/>
              </w:rPr>
              <w:t>Dépenses (</w:t>
            </w:r>
            <w:r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*</w:t>
            </w:r>
            <w:r>
              <w:rPr>
                <w:rFonts w:ascii="Calibri" w:hAnsi="Calibri"/>
                <w:b/>
                <w:bCs/>
                <w:smallCaps/>
              </w:rPr>
              <w:t>)</w:t>
            </w:r>
          </w:p>
        </w:tc>
        <w:tc>
          <w:tcPr>
            <w:tcW w:w="50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570919" w14:textId="77777777" w:rsidR="001C0B0D" w:rsidRDefault="001C0B0D">
            <w:pPr>
              <w:jc w:val="center"/>
            </w:pPr>
            <w:r>
              <w:rPr>
                <w:rFonts w:ascii="Calibri" w:hAnsi="Calibri"/>
                <w:b/>
                <w:bCs/>
                <w:smallCaps/>
              </w:rPr>
              <w:t>Recettes</w:t>
            </w:r>
          </w:p>
        </w:tc>
      </w:tr>
      <w:tr w:rsidR="001C0B0D" w14:paraId="68EF911E" w14:textId="77777777" w:rsidTr="00FD0747">
        <w:tc>
          <w:tcPr>
            <w:tcW w:w="31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0AAF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9F76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523B13" w14:textId="31293841" w:rsidR="001C0B0D" w:rsidRPr="002965A5" w:rsidRDefault="009553E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34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0D23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51CB42" w14:textId="79284B73" w:rsidR="001C0B0D" w:rsidRPr="002965A5" w:rsidRDefault="00910C4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1</w:t>
            </w:r>
            <w:r w:rsidR="00AA6A6A" w:rsidRPr="002965A5"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</w:tr>
      <w:tr w:rsidR="001C0B0D" w14:paraId="7B4F60BF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2CB3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82B214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AE6B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8DE9CE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9125803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7939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1A40AC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CC7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C3E418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3460BE20" w14:textId="77777777" w:rsidTr="00FD0747">
        <w:tc>
          <w:tcPr>
            <w:tcW w:w="3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76F7D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E6C0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FD3382" w14:textId="4C03F937" w:rsidR="001C0B0D" w:rsidRPr="002965A5" w:rsidRDefault="00FE23E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20</w:t>
            </w:r>
            <w:r w:rsidR="007D0998">
              <w:rPr>
                <w:rFonts w:ascii="Century Gothic" w:hAnsi="Century Gothic"/>
                <w:sz w:val="22"/>
                <w:szCs w:val="22"/>
              </w:rPr>
              <w:t>,48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E14F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80CC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BED792" w14:textId="3DE76390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42C5A50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B36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7183B2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1CE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1FB09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0"/>
      <w:tr w:rsidR="001C0B0D" w14:paraId="0EA3C06C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158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9A910F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EA2D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13B8C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A6C98DB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AFD3" w14:textId="35C92198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Boissons</w:t>
            </w:r>
            <w:r w:rsidR="00AE7AFF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alimentation</w:t>
            </w:r>
            <w:r w:rsidR="00AE7AFF">
              <w:rPr>
                <w:rFonts w:ascii="Century Gothic" w:hAnsi="Century Gothic"/>
                <w:sz w:val="22"/>
                <w:szCs w:val="22"/>
              </w:rPr>
              <w:t>-hygiène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7AFB28" w14:textId="77BF27D4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0EA4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F86CA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2ABA227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09FD" w14:textId="262CBDBB" w:rsidR="001C0B0D" w:rsidRDefault="007D09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Ticket Leclerc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58EF45" w14:textId="1A716AB7" w:rsidR="001C0B0D" w:rsidRPr="002965A5" w:rsidRDefault="007D0998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90.83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2B6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ED88F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5F3A93A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7DC6" w14:textId="2B497906" w:rsidR="001C0B0D" w:rsidRDefault="007D09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Ticket Intermarché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7DD2F9" w14:textId="44298875" w:rsidR="001C0B0D" w:rsidRPr="002965A5" w:rsidRDefault="007D099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42.38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5D3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EC011D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EBF2F61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DAED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6EB387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1E94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A3FA1F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E6F4E47" w14:textId="77777777" w:rsidTr="00FD0747">
        <w:tc>
          <w:tcPr>
            <w:tcW w:w="3167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7899E51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497D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8F25DE" w14:textId="156D2E83" w:rsidR="001C0B0D" w:rsidRPr="002965A5" w:rsidRDefault="001C0B0D" w:rsidP="00B5641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66E1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F3862E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84809BF" w14:textId="77777777" w:rsidTr="00FD0747">
        <w:tc>
          <w:tcPr>
            <w:tcW w:w="3707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E325" w14:textId="77777777" w:rsidR="001C0B0D" w:rsidRDefault="001C0B0D">
            <w:r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88C4E8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B02E" w14:textId="77777777" w:rsidR="001C0B0D" w:rsidRDefault="001C0B0D">
            <w:r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D19B85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EC9FCC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A25B" w14:textId="62FA24AC" w:rsidR="001C0B0D" w:rsidRDefault="00AA666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Jeux</w:t>
            </w:r>
            <w:r w:rsidR="00B5641D">
              <w:rPr>
                <w:rFonts w:ascii="Century Gothic" w:hAnsi="Century Gothic"/>
                <w:sz w:val="22"/>
                <w:szCs w:val="22"/>
              </w:rPr>
              <w:t xml:space="preserve"> d’échecs</w:t>
            </w:r>
            <w:r w:rsidR="00907EC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0792B">
              <w:rPr>
                <w:rFonts w:ascii="Century Gothic" w:hAnsi="Century Gothic"/>
                <w:sz w:val="22"/>
                <w:szCs w:val="22"/>
              </w:rPr>
              <w:t>+ horloge</w:t>
            </w:r>
            <w:r w:rsidR="00BA2C63">
              <w:rPr>
                <w:rFonts w:ascii="Century Gothic" w:hAnsi="Century Gothic"/>
                <w:sz w:val="22"/>
                <w:szCs w:val="22"/>
              </w:rPr>
              <w:t>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E1A247" w14:textId="75CF88E4" w:rsidR="001C0B0D" w:rsidRPr="002965A5" w:rsidRDefault="002965A5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496</w:t>
            </w:r>
            <w:r w:rsidR="0040792B" w:rsidRPr="002965A5">
              <w:rPr>
                <w:rFonts w:ascii="Century Gothic" w:hAnsi="Century Gothic"/>
                <w:sz w:val="22"/>
                <w:szCs w:val="22"/>
              </w:rPr>
              <w:t>.</w:t>
            </w:r>
            <w:r w:rsidRPr="002965A5">
              <w:rPr>
                <w:rFonts w:ascii="Century Gothic" w:hAnsi="Century Gothic"/>
                <w:sz w:val="22"/>
                <w:szCs w:val="22"/>
              </w:rPr>
              <w:t>31</w:t>
            </w:r>
          </w:p>
          <w:p w14:paraId="132338DB" w14:textId="3E6D8114" w:rsidR="00B5641D" w:rsidRPr="002965A5" w:rsidRDefault="00B5641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DB16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09B74F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D4EF00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6F80" w14:textId="001A9884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098274" w14:textId="02E69C12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66D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1C49FC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100476C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588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60AD14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B75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BE6D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F91DD1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BC53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057793" w14:textId="29D9F4B0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02F3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830CE1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68A4179A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B4E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B75A21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92E2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54BB59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FC0BB31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59B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C0BB77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92FC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E77D5B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EAF2426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03F1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D616C9" w14:textId="38C1FEA5" w:rsidR="001C0B0D" w:rsidRPr="002965A5" w:rsidRDefault="009553E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50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D59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2E104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A46679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D3DF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6ED479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043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E09F28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861D77A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168C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ADB0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0058" w14:textId="77777777" w:rsidR="001C0B0D" w:rsidRDefault="001C0B0D">
            <w:r>
              <w:rPr>
                <w:rFonts w:ascii="Calibri" w:hAnsi="Calibr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B70C5B" w14:textId="1863B6A3" w:rsidR="001C0B0D" w:rsidRPr="002965A5" w:rsidRDefault="00783370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1000</w:t>
            </w:r>
          </w:p>
        </w:tc>
      </w:tr>
      <w:tr w:rsidR="001C0B0D" w14:paraId="1A84867F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23AE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Taxes (</w:t>
            </w:r>
            <w:r>
              <w:rPr>
                <w:rFonts w:ascii="Century Gothic" w:hAnsi="Century Gothic"/>
                <w:sz w:val="20"/>
                <w:szCs w:val="20"/>
              </w:rPr>
              <w:t>SACEM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29CB89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346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50B035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D8751E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742D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FDCB79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B4B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E92042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6AA9126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E128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93BE5C" w14:textId="24545096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889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56F966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33D0A" w14:paraId="4F893A6E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4980" w14:textId="15A3223C" w:rsidR="00E33D0A" w:rsidRDefault="00BA2C6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Prestation animation</w:t>
            </w:r>
            <w:r w:rsidR="009553EE">
              <w:rPr>
                <w:rFonts w:ascii="Century Gothic" w:hAnsi="Century Gothic"/>
                <w:sz w:val="22"/>
                <w:szCs w:val="22"/>
              </w:rPr>
              <w:t>/</w:t>
            </w:r>
            <w:r>
              <w:rPr>
                <w:rFonts w:ascii="Century Gothic" w:hAnsi="Century Gothic"/>
                <w:sz w:val="22"/>
                <w:szCs w:val="22"/>
              </w:rPr>
              <w:t>arbitrage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03A683" w14:textId="48E56B5B" w:rsidR="00E33D0A" w:rsidRPr="002965A5" w:rsidRDefault="00BA2C6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400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E8D4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BBC73" w14:textId="77777777" w:rsidR="00E33D0A" w:rsidRPr="002965A5" w:rsidRDefault="00E33D0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1B4AC35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5FB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CB831C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B9A3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EB94B5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3C2718D6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5FE5" w14:textId="77777777" w:rsidR="001C0B0D" w:rsidRDefault="00E33D0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Personnel bénévole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4EAABD" w14:textId="3540A857" w:rsidR="003F1DB3" w:rsidRPr="002965A5" w:rsidRDefault="00AA6A6A" w:rsidP="003F1DB3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225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C045" w14:textId="77777777" w:rsidR="001C0B0D" w:rsidRDefault="00E33D0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Bénévolat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F4E5F7" w14:textId="5B1CA984" w:rsidR="001C0B0D" w:rsidRPr="002965A5" w:rsidRDefault="00AA6A6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225</w:t>
            </w:r>
          </w:p>
        </w:tc>
      </w:tr>
      <w:tr w:rsidR="00E33D0A" w14:paraId="742D785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96FE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DD7288" w14:textId="77777777" w:rsidR="00E33D0A" w:rsidRDefault="00E33D0A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803C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673372" w14:textId="77777777" w:rsidR="00E33D0A" w:rsidRDefault="00E33D0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1401D0B" w14:textId="77777777" w:rsidTr="00FD0747">
        <w:tc>
          <w:tcPr>
            <w:tcW w:w="370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E9AB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06F80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D849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CA62E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DDD38F1" w14:textId="77777777" w:rsidTr="00FD0747">
        <w:trPr>
          <w:trHeight w:val="426"/>
        </w:trPr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F787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72C94A" w14:textId="2730D945" w:rsidR="001C0B0D" w:rsidRDefault="002965A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1325</w:t>
            </w:r>
          </w:p>
        </w:tc>
        <w:tc>
          <w:tcPr>
            <w:tcW w:w="503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A0EE2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B8537EE" w14:textId="77777777" w:rsidTr="00FD0747"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494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ACCB9A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0BCB5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A3FC952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5F3B" w14:textId="77777777" w:rsidR="001C0B0D" w:rsidRDefault="001C0B0D">
            <w:pPr>
              <w:ind w:right="-180"/>
            </w:pP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Financement d’un autre projet </w:t>
            </w:r>
            <w:r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B535FF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E5502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F3946A2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25A1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7F7F56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44C4A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8C12CB1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9A61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CA59CC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E3C9C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BA5E233" w14:textId="77777777" w:rsidTr="00FD0747">
        <w:trPr>
          <w:trHeight w:val="359"/>
        </w:trPr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41C5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Total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D3D046" w14:textId="4614BFEA" w:rsidR="001C0B0D" w:rsidRDefault="002965A5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1325</w:t>
            </w:r>
          </w:p>
        </w:tc>
        <w:tc>
          <w:tcPr>
            <w:tcW w:w="34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DFA1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34E0EF" w14:textId="437C68C3" w:rsidR="001C0B0D" w:rsidRDefault="003F1DB3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910C46">
              <w:rPr>
                <w:rFonts w:ascii="Century Gothic" w:hAnsi="Century Gothic"/>
                <w:sz w:val="22"/>
                <w:szCs w:val="22"/>
              </w:rPr>
              <w:t>3</w:t>
            </w:r>
            <w:r w:rsidR="00AA6A6A"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</w:tr>
      <w:tr w:rsidR="001C0B0D" w14:paraId="3F7FA49C" w14:textId="77777777" w:rsidTr="00FD0747">
        <w:trPr>
          <w:trHeight w:val="2051"/>
        </w:trPr>
        <w:tc>
          <w:tcPr>
            <w:tcW w:w="5184" w:type="dxa"/>
            <w:gridSpan w:val="3"/>
            <w:shd w:val="clear" w:color="auto" w:fill="auto"/>
          </w:tcPr>
          <w:p w14:paraId="25E3CA43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Les dépenses doivent être justifiées par des devis </w:t>
            </w:r>
          </w:p>
          <w:p w14:paraId="2ED32DC1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association est utilisé, s’assurer que cette association est protégée pour la fête que vous organisez</w:t>
            </w:r>
          </w:p>
          <w:p w14:paraId="768F0E8A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(2) Pour les voyages collectifs, les conditions suivantes :</w:t>
            </w:r>
          </w:p>
          <w:p w14:paraId="692DC4A2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avoir fait l’objet d’une animation préalable sur le quartier, afin de contribuer à leur autofinancement</w:t>
            </w:r>
          </w:p>
          <w:p w14:paraId="1BDD6879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14:paraId="17FDB9D5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14:paraId="7BCEEBFA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 comme le précise le règlement intérieur</w:t>
            </w:r>
          </w:p>
        </w:tc>
        <w:tc>
          <w:tcPr>
            <w:tcW w:w="5183" w:type="dxa"/>
            <w:gridSpan w:val="4"/>
            <w:tcBorders>
              <w:top w:val="single" w:sz="18" w:space="0" w:color="000000"/>
            </w:tcBorders>
            <w:shd w:val="clear" w:color="auto" w:fill="auto"/>
          </w:tcPr>
          <w:p w14:paraId="4C3FE096" w14:textId="77777777" w:rsidR="001C0B0D" w:rsidRDefault="001C0B0D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14:paraId="4997C39E" w14:textId="77777777" w:rsidR="001C0B0D" w:rsidRDefault="001C0B0D">
            <w:pPr>
              <w:ind w:right="-771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(3) Seul le matériel consommable est pris en compte (petit matériel </w:t>
            </w:r>
          </w:p>
          <w:p w14:paraId="5E38582B" w14:textId="77777777" w:rsidR="001C0B0D" w:rsidRDefault="001C0B0D">
            <w:pPr>
              <w:ind w:right="-771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14:paraId="329B464F" w14:textId="77777777" w:rsidR="001C0B0D" w:rsidRDefault="001C0B0D">
            <w:pPr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nécessairement participer au projet.</w:t>
            </w:r>
          </w:p>
          <w:p w14:paraId="09E512A1" w14:textId="77777777" w:rsidR="001C0B0D" w:rsidRDefault="001C0B0D">
            <w:pPr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14:paraId="34085A5E" w14:textId="77777777" w:rsidR="001C0B0D" w:rsidRDefault="001C0B0D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1EDAD40F" w14:textId="77777777" w:rsidR="001C0B0D" w:rsidRDefault="001C0B0D">
      <w:pPr>
        <w:spacing w:line="360" w:lineRule="auto"/>
        <w:ind w:right="-828"/>
      </w:pPr>
    </w:p>
    <w:sectPr w:rsidR="001C0B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8" w:right="1417" w:bottom="540" w:left="1417" w:header="708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42929" w14:textId="77777777" w:rsidR="00187EBD" w:rsidRDefault="00187EBD">
      <w:r>
        <w:separator/>
      </w:r>
    </w:p>
  </w:endnote>
  <w:endnote w:type="continuationSeparator" w:id="0">
    <w:p w14:paraId="0C86D657" w14:textId="77777777" w:rsidR="00187EBD" w:rsidRDefault="0018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9499" w14:textId="77777777" w:rsidR="001C0B0D" w:rsidRDefault="001C0B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73F96" w14:textId="77777777" w:rsidR="001C0B0D" w:rsidRDefault="001C0B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7AF1C" w14:textId="77777777" w:rsidR="00187EBD" w:rsidRDefault="00187EBD">
      <w:r>
        <w:separator/>
      </w:r>
    </w:p>
  </w:footnote>
  <w:footnote w:type="continuationSeparator" w:id="0">
    <w:p w14:paraId="69103FEE" w14:textId="77777777" w:rsidR="00187EBD" w:rsidRDefault="00187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1205" w14:textId="77777777" w:rsidR="001C0B0D" w:rsidRDefault="001C0B0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961CB" w14:textId="77777777" w:rsidR="001C0B0D" w:rsidRDefault="001C0B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88"/>
    <w:rsid w:val="00023D26"/>
    <w:rsid w:val="00047488"/>
    <w:rsid w:val="000D5325"/>
    <w:rsid w:val="000E79E4"/>
    <w:rsid w:val="00187EBD"/>
    <w:rsid w:val="00196464"/>
    <w:rsid w:val="001A5FCE"/>
    <w:rsid w:val="001C0B0D"/>
    <w:rsid w:val="002965A5"/>
    <w:rsid w:val="00303136"/>
    <w:rsid w:val="00312D26"/>
    <w:rsid w:val="00366068"/>
    <w:rsid w:val="003F1DB3"/>
    <w:rsid w:val="0040792B"/>
    <w:rsid w:val="004614E8"/>
    <w:rsid w:val="004B0EC8"/>
    <w:rsid w:val="004E53BA"/>
    <w:rsid w:val="00557784"/>
    <w:rsid w:val="00567770"/>
    <w:rsid w:val="00572A30"/>
    <w:rsid w:val="00764AC4"/>
    <w:rsid w:val="00783370"/>
    <w:rsid w:val="007B4B73"/>
    <w:rsid w:val="007D0998"/>
    <w:rsid w:val="007E7025"/>
    <w:rsid w:val="008D5625"/>
    <w:rsid w:val="00907ECC"/>
    <w:rsid w:val="00910C46"/>
    <w:rsid w:val="009553EE"/>
    <w:rsid w:val="00A32DB4"/>
    <w:rsid w:val="00AA6660"/>
    <w:rsid w:val="00AA6A6A"/>
    <w:rsid w:val="00AE7AFF"/>
    <w:rsid w:val="00B10C60"/>
    <w:rsid w:val="00B5641D"/>
    <w:rsid w:val="00BA2C63"/>
    <w:rsid w:val="00BB1A7D"/>
    <w:rsid w:val="00BF40C1"/>
    <w:rsid w:val="00D1079F"/>
    <w:rsid w:val="00D36E67"/>
    <w:rsid w:val="00D60F32"/>
    <w:rsid w:val="00DD7267"/>
    <w:rsid w:val="00E33D0A"/>
    <w:rsid w:val="00E371D6"/>
    <w:rsid w:val="00EA088B"/>
    <w:rsid w:val="00ED435A"/>
    <w:rsid w:val="00FD0747"/>
    <w:rsid w:val="00FE23E9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EDFC1"/>
  <w15:chartTrackingRefBased/>
  <w15:docId w15:val="{B589D0F7-5822-400A-B137-1A61A54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umrodepage1">
    <w:name w:val="Numéro de page1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y3">
    <w:name w:val="gray3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gray2">
    <w:name w:val="gray2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gray1">
    <w:name w:val="gray1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Standard">
    <w:name w:val="Standard"/>
    <w:pPr>
      <w:suppressAutoHyphens/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Thammavong</dc:creator>
  <cp:keywords/>
  <cp:lastModifiedBy>CHABERT Laurane</cp:lastModifiedBy>
  <cp:revision>6</cp:revision>
  <cp:lastPrinted>2025-03-06T14:20:00Z</cp:lastPrinted>
  <dcterms:created xsi:type="dcterms:W3CDTF">2025-04-28T21:25:00Z</dcterms:created>
  <dcterms:modified xsi:type="dcterms:W3CDTF">2025-04-30T07:22:00Z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